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0DF6" w14:textId="77777777" w:rsidR="001E6FAA" w:rsidRPr="002B5AA7" w:rsidRDefault="001E6FAA" w:rsidP="001E6FAA">
      <w:pPr>
        <w:jc w:val="center"/>
        <w:rPr>
          <w:rFonts w:ascii="Berlin Sans FB Demi" w:hAnsi="Berlin Sans FB Demi" w:cs="Arial"/>
          <w:b/>
          <w:sz w:val="28"/>
          <w:szCs w:val="28"/>
          <w:u w:val="single"/>
        </w:rPr>
      </w:pPr>
      <w:r w:rsidRPr="002B5AA7">
        <w:rPr>
          <w:rFonts w:ascii="Berlin Sans FB Demi" w:hAnsi="Berlin Sans FB Demi" w:cs="Arial"/>
          <w:noProof/>
          <w:sz w:val="28"/>
          <w:szCs w:val="28"/>
          <w:u w:val="single"/>
        </w:rPr>
        <w:drawing>
          <wp:anchor distT="0" distB="0" distL="114300" distR="114300" simplePos="0" relativeHeight="251659264" behindDoc="0" locked="0" layoutInCell="1" allowOverlap="1" wp14:anchorId="1B92A52F" wp14:editId="63D7BEE9">
            <wp:simplePos x="0" y="0"/>
            <wp:positionH relativeFrom="column">
              <wp:posOffset>-1064895</wp:posOffset>
            </wp:positionH>
            <wp:positionV relativeFrom="paragraph">
              <wp:posOffset>-838200</wp:posOffset>
            </wp:positionV>
            <wp:extent cx="1143000" cy="1143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5AA7">
        <w:rPr>
          <w:rFonts w:ascii="Berlin Sans FB Demi" w:hAnsi="Berlin Sans FB Demi" w:cs="Arial"/>
          <w:b/>
          <w:sz w:val="28"/>
          <w:szCs w:val="28"/>
          <w:u w:val="single"/>
        </w:rPr>
        <w:t xml:space="preserve">RÈGLES ET NORMES </w:t>
      </w:r>
    </w:p>
    <w:p w14:paraId="05586845" w14:textId="7DE4F3E2" w:rsidR="001E6FAA" w:rsidRPr="002B5AA7" w:rsidRDefault="001E6FAA" w:rsidP="001E6FAA">
      <w:pPr>
        <w:jc w:val="center"/>
        <w:rPr>
          <w:rFonts w:ascii="Berlin Sans FB Demi" w:hAnsi="Berlin Sans FB Demi" w:cs="Arial"/>
          <w:b/>
          <w:i/>
          <w:sz w:val="24"/>
          <w:szCs w:val="24"/>
        </w:rPr>
      </w:pPr>
      <w:r w:rsidRPr="002B5AA7">
        <w:rPr>
          <w:rFonts w:ascii="Berlin Sans FB Demi" w:hAnsi="Berlin Sans FB Demi" w:cs="Arial"/>
          <w:b/>
          <w:i/>
          <w:sz w:val="24"/>
          <w:szCs w:val="24"/>
        </w:rPr>
        <w:t>AIDE FINANCIÈRE AUX INITIATIVES LOCALES ET RÉGIONALES EN LOISIR PERSONNES HANDICAPÉES 20</w:t>
      </w:r>
      <w:r w:rsidR="00C70BA0">
        <w:rPr>
          <w:rFonts w:ascii="Berlin Sans FB Demi" w:hAnsi="Berlin Sans FB Demi" w:cs="Arial"/>
          <w:b/>
          <w:i/>
          <w:sz w:val="24"/>
          <w:szCs w:val="24"/>
        </w:rPr>
        <w:t>23-2024</w:t>
      </w:r>
    </w:p>
    <w:p w14:paraId="2BA4C0A3" w14:textId="77777777" w:rsidR="001E6FAA" w:rsidRPr="008D331D" w:rsidRDefault="001E6FAA" w:rsidP="001E6FAA">
      <w:pPr>
        <w:jc w:val="both"/>
        <w:rPr>
          <w:rFonts w:ascii="Arial" w:hAnsi="Arial" w:cs="Arial"/>
          <w:b/>
          <w:sz w:val="24"/>
          <w:szCs w:val="24"/>
        </w:rPr>
      </w:pPr>
    </w:p>
    <w:p w14:paraId="6A7EEF13" w14:textId="77777777" w:rsidR="001E6FAA" w:rsidRPr="008D331D" w:rsidRDefault="001E6FAA" w:rsidP="001E6FAA">
      <w:pPr>
        <w:pBdr>
          <w:top w:val="single" w:sz="4" w:space="1" w:color="auto"/>
          <w:left w:val="single" w:sz="4" w:space="4" w:color="auto"/>
          <w:bottom w:val="single" w:sz="4" w:space="1" w:color="auto"/>
          <w:right w:val="single" w:sz="4" w:space="4" w:color="auto"/>
        </w:pBdr>
        <w:shd w:val="clear" w:color="auto" w:fill="009999"/>
        <w:jc w:val="both"/>
        <w:rPr>
          <w:rFonts w:ascii="Arial" w:hAnsi="Arial" w:cs="Arial"/>
          <w:b/>
          <w:sz w:val="24"/>
          <w:szCs w:val="24"/>
        </w:rPr>
      </w:pPr>
      <w:r w:rsidRPr="008D331D">
        <w:rPr>
          <w:rFonts w:ascii="Arial" w:hAnsi="Arial" w:cs="Arial"/>
          <w:b/>
          <w:sz w:val="24"/>
          <w:szCs w:val="24"/>
        </w:rPr>
        <w:t xml:space="preserve">Description de l’aide financière </w:t>
      </w:r>
    </w:p>
    <w:p w14:paraId="22A69F25" w14:textId="77777777" w:rsidR="001E6FAA" w:rsidRDefault="001E6FAA" w:rsidP="001E6FAA">
      <w:pPr>
        <w:jc w:val="both"/>
        <w:rPr>
          <w:rFonts w:ascii="Arial" w:hAnsi="Arial" w:cs="Arial"/>
          <w:sz w:val="24"/>
          <w:szCs w:val="24"/>
        </w:rPr>
      </w:pPr>
      <w:r w:rsidRPr="008D331D">
        <w:rPr>
          <w:rFonts w:ascii="Arial" w:hAnsi="Arial" w:cs="Arial"/>
          <w:sz w:val="24"/>
          <w:szCs w:val="24"/>
        </w:rPr>
        <w:t xml:space="preserve">Afin d’appuyer les instances régionales responsables du loisir des personnes handicapées (IRLPH) dans la promotion et le développement de l’accessibilité de la pratique d’activités de loisir auprès des personnes handicapées, le ministère de l’Éducation et de l’Enseignement supérieur (MEES) met à leur disposition une aide financière pour soutenir des projets d’envergure locale et régionale. </w:t>
      </w:r>
    </w:p>
    <w:p w14:paraId="6D340FDA" w14:textId="732BCBCB" w:rsidR="001E6FAA" w:rsidRPr="008D331D" w:rsidRDefault="001E6FAA" w:rsidP="001E6FAA">
      <w:pPr>
        <w:jc w:val="both"/>
        <w:rPr>
          <w:rFonts w:ascii="Arial" w:hAnsi="Arial" w:cs="Arial"/>
          <w:sz w:val="24"/>
          <w:szCs w:val="24"/>
        </w:rPr>
      </w:pPr>
      <w:r w:rsidRPr="008D331D">
        <w:rPr>
          <w:rFonts w:ascii="Arial" w:hAnsi="Arial" w:cs="Arial"/>
          <w:sz w:val="24"/>
          <w:szCs w:val="24"/>
        </w:rPr>
        <w:t>À partir des règles et normes mentionnées ci-dessous, l’IRLPH détermine les priorités d’intervention ainsi que les politiques de soutien spécifiques à son milieu, en fonction des enjeux et réalités propres à son territoire. De ce fait, elle est imputable de l’analyse et du soutien qu’elle accorde aux projets soumis dans sa région, dans le respect des principes d’une saine gestion des fonds publics</w:t>
      </w:r>
      <w:r w:rsidR="00025E70">
        <w:rPr>
          <w:rFonts w:ascii="Arial" w:hAnsi="Arial" w:cs="Arial"/>
          <w:sz w:val="24"/>
          <w:szCs w:val="24"/>
        </w:rPr>
        <w:t>.</w:t>
      </w:r>
    </w:p>
    <w:p w14:paraId="01510DFE" w14:textId="77777777" w:rsidR="001E6FAA" w:rsidRPr="008D331D" w:rsidRDefault="001E6FAA" w:rsidP="001E6FAA">
      <w:pPr>
        <w:pBdr>
          <w:top w:val="single" w:sz="4" w:space="1" w:color="auto"/>
          <w:left w:val="single" w:sz="4" w:space="4" w:color="auto"/>
          <w:bottom w:val="single" w:sz="4" w:space="1" w:color="auto"/>
          <w:right w:val="single" w:sz="4" w:space="4" w:color="auto"/>
        </w:pBdr>
        <w:shd w:val="clear" w:color="auto" w:fill="009999"/>
        <w:jc w:val="both"/>
        <w:rPr>
          <w:rFonts w:ascii="Arial" w:hAnsi="Arial" w:cs="Arial"/>
          <w:b/>
          <w:sz w:val="24"/>
          <w:szCs w:val="24"/>
        </w:rPr>
      </w:pPr>
      <w:r w:rsidRPr="008D331D">
        <w:rPr>
          <w:rFonts w:ascii="Arial" w:hAnsi="Arial" w:cs="Arial"/>
          <w:b/>
          <w:sz w:val="24"/>
          <w:szCs w:val="24"/>
        </w:rPr>
        <w:t>Objectifs</w:t>
      </w:r>
    </w:p>
    <w:p w14:paraId="1D927D0D" w14:textId="3C69DB2E"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Favoriser l’accessibilité du loisir aux personnes handicapées afin d’augmenter leur participation à des activités de loisir. </w:t>
      </w:r>
    </w:p>
    <w:p w14:paraId="17D422E9" w14:textId="440A5B0A"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Soutenir la réalisation de nouveaux projets ou la bonification de projets existants, locaux et régionaux, favorisant directement la pratique d’activités de loisir. </w:t>
      </w:r>
    </w:p>
    <w:p w14:paraId="404BF2B0" w14:textId="77777777" w:rsidR="001E6FAA" w:rsidRPr="008D331D" w:rsidRDefault="001E6FAA" w:rsidP="001E6FAA">
      <w:pPr>
        <w:pBdr>
          <w:top w:val="single" w:sz="4" w:space="1" w:color="auto"/>
          <w:left w:val="single" w:sz="4" w:space="4" w:color="auto"/>
          <w:bottom w:val="single" w:sz="4" w:space="1" w:color="auto"/>
          <w:right w:val="single" w:sz="4" w:space="4" w:color="auto"/>
        </w:pBdr>
        <w:shd w:val="clear" w:color="auto" w:fill="009999"/>
        <w:jc w:val="both"/>
        <w:rPr>
          <w:rFonts w:ascii="Arial" w:hAnsi="Arial" w:cs="Arial"/>
          <w:b/>
          <w:sz w:val="24"/>
          <w:szCs w:val="24"/>
        </w:rPr>
      </w:pPr>
      <w:r w:rsidRPr="008D331D">
        <w:rPr>
          <w:rFonts w:ascii="Arial" w:hAnsi="Arial" w:cs="Arial"/>
          <w:b/>
          <w:sz w:val="24"/>
          <w:szCs w:val="24"/>
        </w:rPr>
        <w:t xml:space="preserve">Projets admissibles </w:t>
      </w:r>
    </w:p>
    <w:p w14:paraId="3CAA284F"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t>1) Projet visant la pratique d’activités de loisir</w:t>
      </w:r>
    </w:p>
    <w:p w14:paraId="66D9431A"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t>2) Projet visant les personnes handicapées</w:t>
      </w:r>
    </w:p>
    <w:p w14:paraId="37F02592"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t>3) Projet ayant lieu au Québec</w:t>
      </w:r>
    </w:p>
    <w:p w14:paraId="12DE25D0" w14:textId="77777777" w:rsidR="001E6FAA" w:rsidRPr="008D331D" w:rsidRDefault="001E6FAA" w:rsidP="001E6FAA">
      <w:pPr>
        <w:pBdr>
          <w:top w:val="single" w:sz="4" w:space="1" w:color="auto"/>
          <w:left w:val="single" w:sz="4" w:space="4" w:color="auto"/>
          <w:bottom w:val="single" w:sz="4" w:space="1" w:color="auto"/>
          <w:right w:val="single" w:sz="4" w:space="4" w:color="auto"/>
        </w:pBdr>
        <w:shd w:val="clear" w:color="auto" w:fill="009999"/>
        <w:jc w:val="both"/>
        <w:rPr>
          <w:rFonts w:ascii="Arial" w:hAnsi="Arial" w:cs="Arial"/>
          <w:b/>
          <w:sz w:val="24"/>
          <w:szCs w:val="24"/>
        </w:rPr>
      </w:pPr>
      <w:r w:rsidRPr="008D331D">
        <w:rPr>
          <w:rFonts w:ascii="Arial" w:hAnsi="Arial" w:cs="Arial"/>
          <w:b/>
          <w:sz w:val="24"/>
          <w:szCs w:val="24"/>
        </w:rPr>
        <w:t xml:space="preserve">Organismes admissibles </w:t>
      </w:r>
    </w:p>
    <w:p w14:paraId="6F5D52E2"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Un organisme à but non lucratif en vertu de la partie III de la Loi sur les compagnies</w:t>
      </w:r>
      <w:r w:rsidR="008176DD">
        <w:rPr>
          <w:rFonts w:ascii="Arial" w:hAnsi="Arial" w:cs="Arial"/>
          <w:sz w:val="24"/>
          <w:szCs w:val="24"/>
        </w:rPr>
        <w:t>.</w:t>
      </w:r>
    </w:p>
    <w:p w14:paraId="6A419C63"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Une municipalité, une ville ou une MRC. </w:t>
      </w:r>
    </w:p>
    <w:p w14:paraId="72197E91" w14:textId="77777777" w:rsidR="001E6FAA" w:rsidRPr="004F40A5" w:rsidRDefault="001E6FAA" w:rsidP="008176DD">
      <w:pPr>
        <w:pBdr>
          <w:top w:val="single" w:sz="4" w:space="1" w:color="auto"/>
          <w:left w:val="single" w:sz="4" w:space="4" w:color="auto"/>
          <w:bottom w:val="single" w:sz="4" w:space="1" w:color="auto"/>
          <w:right w:val="single" w:sz="4" w:space="4" w:color="auto"/>
        </w:pBdr>
        <w:shd w:val="clear" w:color="auto" w:fill="009999"/>
        <w:jc w:val="both"/>
        <w:rPr>
          <w:rFonts w:ascii="Arial" w:hAnsi="Arial" w:cs="Arial"/>
          <w:b/>
          <w:bCs/>
          <w:sz w:val="24"/>
          <w:szCs w:val="24"/>
        </w:rPr>
      </w:pPr>
      <w:r w:rsidRPr="004F40A5">
        <w:rPr>
          <w:rFonts w:ascii="Arial" w:hAnsi="Arial" w:cs="Arial"/>
          <w:b/>
          <w:bCs/>
          <w:sz w:val="24"/>
          <w:szCs w:val="24"/>
        </w:rPr>
        <w:t xml:space="preserve">Tout organisme bénéficiaire doit : </w:t>
      </w:r>
    </w:p>
    <w:p w14:paraId="57198380" w14:textId="1F8CB01A" w:rsidR="001E6FAA" w:rsidRPr="008D331D" w:rsidRDefault="001E6FAA" w:rsidP="001E6FAA">
      <w:pPr>
        <w:jc w:val="both"/>
        <w:rPr>
          <w:rFonts w:ascii="Arial" w:hAnsi="Arial" w:cs="Arial"/>
          <w:sz w:val="24"/>
          <w:szCs w:val="24"/>
        </w:rPr>
      </w:pPr>
      <w:r w:rsidRPr="008D331D">
        <w:rPr>
          <w:rFonts w:ascii="Arial" w:hAnsi="Arial" w:cs="Arial"/>
          <w:sz w:val="24"/>
          <w:szCs w:val="24"/>
        </w:rPr>
        <w:t>1)</w:t>
      </w:r>
      <w:r w:rsidR="00025E70">
        <w:rPr>
          <w:rFonts w:ascii="Arial" w:hAnsi="Arial" w:cs="Arial"/>
          <w:sz w:val="24"/>
          <w:szCs w:val="24"/>
        </w:rPr>
        <w:t xml:space="preserve">    </w:t>
      </w:r>
      <w:r w:rsidRPr="008D331D">
        <w:rPr>
          <w:rFonts w:ascii="Arial" w:hAnsi="Arial" w:cs="Arial"/>
          <w:sz w:val="24"/>
          <w:szCs w:val="24"/>
        </w:rPr>
        <w:t>Desservir la clientèle sur le territoire de l’IRLPH</w:t>
      </w:r>
      <w:r w:rsidR="008176DD">
        <w:rPr>
          <w:rFonts w:ascii="Arial" w:hAnsi="Arial" w:cs="Arial"/>
          <w:sz w:val="24"/>
          <w:szCs w:val="24"/>
        </w:rPr>
        <w:t>.</w:t>
      </w:r>
    </w:p>
    <w:p w14:paraId="08D6A50A" w14:textId="2B28C83B" w:rsidR="001E6FAA" w:rsidRPr="008D331D" w:rsidRDefault="001E6FAA" w:rsidP="00902CAF">
      <w:pPr>
        <w:jc w:val="both"/>
        <w:rPr>
          <w:rFonts w:ascii="Arial" w:hAnsi="Arial" w:cs="Arial"/>
          <w:sz w:val="24"/>
          <w:szCs w:val="24"/>
        </w:rPr>
      </w:pPr>
      <w:r w:rsidRPr="008D331D">
        <w:rPr>
          <w:rFonts w:ascii="Arial" w:hAnsi="Arial" w:cs="Arial"/>
          <w:sz w:val="24"/>
          <w:szCs w:val="24"/>
        </w:rPr>
        <w:t>2)</w:t>
      </w:r>
      <w:r w:rsidR="00025E70">
        <w:rPr>
          <w:rFonts w:ascii="Arial" w:hAnsi="Arial" w:cs="Arial"/>
          <w:sz w:val="24"/>
          <w:szCs w:val="24"/>
        </w:rPr>
        <w:t xml:space="preserve"> </w:t>
      </w:r>
      <w:r w:rsidRPr="008D331D">
        <w:rPr>
          <w:rFonts w:ascii="Arial" w:hAnsi="Arial" w:cs="Arial"/>
          <w:sz w:val="24"/>
          <w:szCs w:val="24"/>
        </w:rPr>
        <w:t xml:space="preserve">Effectuer la vérification des antécédents judiciaires du personnel accompagnateur en lien avec le projet, s’il y a. </w:t>
      </w:r>
    </w:p>
    <w:p w14:paraId="2D861473" w14:textId="77777777" w:rsidR="001E6FAA" w:rsidRPr="004F40A5" w:rsidRDefault="001E6FAA" w:rsidP="008176DD">
      <w:pPr>
        <w:pBdr>
          <w:top w:val="single" w:sz="4" w:space="1" w:color="auto"/>
          <w:left w:val="single" w:sz="4" w:space="4" w:color="auto"/>
          <w:bottom w:val="single" w:sz="4" w:space="1" w:color="auto"/>
          <w:right w:val="single" w:sz="4" w:space="4" w:color="auto"/>
        </w:pBdr>
        <w:shd w:val="clear" w:color="auto" w:fill="009999"/>
        <w:jc w:val="both"/>
        <w:rPr>
          <w:rFonts w:ascii="Arial" w:hAnsi="Arial" w:cs="Arial"/>
          <w:b/>
          <w:bCs/>
          <w:sz w:val="24"/>
          <w:szCs w:val="24"/>
        </w:rPr>
      </w:pPr>
      <w:r w:rsidRPr="004F40A5">
        <w:rPr>
          <w:rFonts w:ascii="Arial" w:hAnsi="Arial" w:cs="Arial"/>
          <w:b/>
          <w:bCs/>
          <w:sz w:val="24"/>
          <w:szCs w:val="24"/>
        </w:rPr>
        <w:lastRenderedPageBreak/>
        <w:t xml:space="preserve">Projets et dépenses non admissibles </w:t>
      </w:r>
    </w:p>
    <w:p w14:paraId="0BCB52E0"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Les projets visant uniquement l'achat de matériel</w:t>
      </w:r>
    </w:p>
    <w:p w14:paraId="12371FB6"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Les taxes </w:t>
      </w:r>
    </w:p>
    <w:p w14:paraId="67C855C4"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Les dépenses destinées exclusivement à un citoyen ou à un participant (ex. : articles promotionnels, prix de participation, bourse, etc.</w:t>
      </w:r>
      <w:r w:rsidR="008176DD">
        <w:rPr>
          <w:rFonts w:ascii="Arial" w:hAnsi="Arial" w:cs="Arial"/>
          <w:sz w:val="24"/>
          <w:szCs w:val="24"/>
        </w:rPr>
        <w:t>)</w:t>
      </w:r>
    </w:p>
    <w:p w14:paraId="0B8F3971"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sym w:font="Symbol" w:char="F0B7"/>
      </w:r>
      <w:r w:rsidRPr="008D331D">
        <w:rPr>
          <w:rFonts w:ascii="Arial" w:hAnsi="Arial" w:cs="Arial"/>
          <w:sz w:val="24"/>
          <w:szCs w:val="24"/>
        </w:rPr>
        <w:t xml:space="preserve"> L’achat de nourriture</w:t>
      </w:r>
    </w:p>
    <w:p w14:paraId="109B537C" w14:textId="77777777" w:rsidR="001E6FAA" w:rsidRPr="008D331D" w:rsidRDefault="001E6FAA" w:rsidP="001E6FAA">
      <w:pPr>
        <w:pBdr>
          <w:top w:val="single" w:sz="4" w:space="1" w:color="auto"/>
          <w:left w:val="single" w:sz="4" w:space="4" w:color="auto"/>
          <w:bottom w:val="single" w:sz="4" w:space="1" w:color="auto"/>
          <w:right w:val="single" w:sz="4" w:space="4" w:color="auto"/>
        </w:pBdr>
        <w:shd w:val="clear" w:color="auto" w:fill="009999"/>
        <w:jc w:val="both"/>
        <w:rPr>
          <w:rFonts w:ascii="Arial" w:hAnsi="Arial" w:cs="Arial"/>
          <w:b/>
          <w:sz w:val="24"/>
          <w:szCs w:val="24"/>
        </w:rPr>
      </w:pPr>
      <w:r w:rsidRPr="008D331D">
        <w:rPr>
          <w:rFonts w:ascii="Arial" w:hAnsi="Arial" w:cs="Arial"/>
          <w:b/>
          <w:sz w:val="24"/>
          <w:szCs w:val="24"/>
        </w:rPr>
        <w:t xml:space="preserve">Aide financière </w:t>
      </w:r>
    </w:p>
    <w:p w14:paraId="31DE6EB3"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t xml:space="preserve">L’aide financière maximale est de moins de 10 000 $ par projet et est non récurrente. </w:t>
      </w:r>
    </w:p>
    <w:p w14:paraId="3D499AC6" w14:textId="77777777" w:rsidR="001E6FAA" w:rsidRPr="008D331D" w:rsidRDefault="001E6FAA" w:rsidP="001E6FAA">
      <w:pPr>
        <w:jc w:val="both"/>
        <w:rPr>
          <w:rFonts w:ascii="Arial" w:hAnsi="Arial" w:cs="Arial"/>
          <w:sz w:val="24"/>
          <w:szCs w:val="24"/>
        </w:rPr>
      </w:pPr>
      <w:r w:rsidRPr="008D331D">
        <w:rPr>
          <w:rFonts w:ascii="Arial" w:hAnsi="Arial" w:cs="Arial"/>
          <w:sz w:val="24"/>
          <w:szCs w:val="24"/>
        </w:rPr>
        <w:t>L’IRLPH attribue l’aide financière après l’approbation des recommandations par le ministre.</w:t>
      </w:r>
    </w:p>
    <w:p w14:paraId="4BC37E49" w14:textId="77777777" w:rsidR="001E6FAA" w:rsidRDefault="001E6FAA" w:rsidP="001E6FAA">
      <w:pPr>
        <w:rPr>
          <w:rFonts w:ascii="Arial" w:hAnsi="Arial" w:cs="Arial"/>
          <w:sz w:val="24"/>
          <w:szCs w:val="24"/>
        </w:rPr>
      </w:pPr>
    </w:p>
    <w:p w14:paraId="25D0A6FD" w14:textId="77777777" w:rsidR="001E6FAA" w:rsidRDefault="001E6FAA" w:rsidP="001E6FAA">
      <w:pPr>
        <w:rPr>
          <w:rFonts w:ascii="Arial" w:hAnsi="Arial" w:cs="Arial"/>
          <w:sz w:val="24"/>
          <w:szCs w:val="24"/>
        </w:rPr>
      </w:pPr>
    </w:p>
    <w:p w14:paraId="50A30409" w14:textId="77777777" w:rsidR="001E6FAA" w:rsidRDefault="001E6FAA" w:rsidP="001E6FAA">
      <w:pPr>
        <w:rPr>
          <w:rFonts w:ascii="Arial" w:hAnsi="Arial" w:cs="Arial"/>
          <w:sz w:val="24"/>
          <w:szCs w:val="24"/>
        </w:rPr>
      </w:pPr>
    </w:p>
    <w:p w14:paraId="18DEBC17" w14:textId="77777777" w:rsidR="001E6FAA" w:rsidRDefault="001E6FAA" w:rsidP="001E6FAA">
      <w:pPr>
        <w:rPr>
          <w:rFonts w:ascii="Arial" w:hAnsi="Arial" w:cs="Arial"/>
          <w:sz w:val="24"/>
          <w:szCs w:val="24"/>
        </w:rPr>
      </w:pPr>
    </w:p>
    <w:p w14:paraId="33E28AA2" w14:textId="77777777" w:rsidR="001E6FAA" w:rsidRDefault="001E6FAA" w:rsidP="001E6FAA">
      <w:pPr>
        <w:rPr>
          <w:rFonts w:ascii="Arial" w:hAnsi="Arial" w:cs="Arial"/>
          <w:sz w:val="24"/>
          <w:szCs w:val="24"/>
        </w:rPr>
      </w:pPr>
    </w:p>
    <w:p w14:paraId="14ED3F3F" w14:textId="77777777" w:rsidR="001E6FAA" w:rsidRPr="00CF5C0D" w:rsidRDefault="001E6FAA" w:rsidP="001E6FAA">
      <w:pPr>
        <w:rPr>
          <w:rFonts w:ascii="Arial" w:hAnsi="Arial" w:cs="Arial"/>
          <w:b/>
          <w:i/>
          <w:sz w:val="18"/>
          <w:szCs w:val="18"/>
          <w:u w:val="single"/>
        </w:rPr>
      </w:pPr>
    </w:p>
    <w:p w14:paraId="6CA017EB" w14:textId="77777777" w:rsidR="001446DD" w:rsidRDefault="001446DD">
      <w:pPr>
        <w:rPr>
          <w:rFonts w:ascii="Arial" w:hAnsi="Arial" w:cs="Arial"/>
          <w:sz w:val="24"/>
          <w:szCs w:val="24"/>
        </w:rPr>
      </w:pPr>
    </w:p>
    <w:p w14:paraId="54C28FE0" w14:textId="77777777" w:rsidR="001446DD" w:rsidRDefault="001446DD">
      <w:pPr>
        <w:rPr>
          <w:rFonts w:ascii="Arial" w:hAnsi="Arial" w:cs="Arial"/>
          <w:sz w:val="24"/>
          <w:szCs w:val="24"/>
        </w:rPr>
      </w:pPr>
    </w:p>
    <w:p w14:paraId="471667CE" w14:textId="77777777" w:rsidR="001446DD" w:rsidRDefault="001446DD">
      <w:pPr>
        <w:rPr>
          <w:rFonts w:ascii="Arial" w:hAnsi="Arial" w:cs="Arial"/>
          <w:sz w:val="24"/>
          <w:szCs w:val="24"/>
        </w:rPr>
      </w:pPr>
    </w:p>
    <w:p w14:paraId="41992519" w14:textId="77777777" w:rsidR="001446DD" w:rsidRDefault="001446DD">
      <w:pPr>
        <w:rPr>
          <w:rFonts w:ascii="Arial" w:hAnsi="Arial" w:cs="Arial"/>
          <w:sz w:val="24"/>
          <w:szCs w:val="24"/>
        </w:rPr>
      </w:pPr>
    </w:p>
    <w:p w14:paraId="2B311310" w14:textId="77777777" w:rsidR="001446DD" w:rsidRDefault="001446DD">
      <w:pPr>
        <w:rPr>
          <w:rFonts w:ascii="Arial" w:hAnsi="Arial" w:cs="Arial"/>
          <w:sz w:val="24"/>
          <w:szCs w:val="24"/>
        </w:rPr>
      </w:pPr>
    </w:p>
    <w:p w14:paraId="14B524A2" w14:textId="77777777" w:rsidR="00286653" w:rsidRDefault="00286653" w:rsidP="001446DD">
      <w:pPr>
        <w:jc w:val="both"/>
        <w:rPr>
          <w:rFonts w:ascii="Arial" w:hAnsi="Arial" w:cs="Arial"/>
          <w:sz w:val="16"/>
          <w:szCs w:val="16"/>
        </w:rPr>
      </w:pPr>
    </w:p>
    <w:p w14:paraId="044B09D6" w14:textId="77777777" w:rsidR="00286653" w:rsidRDefault="00286653" w:rsidP="001446DD">
      <w:pPr>
        <w:jc w:val="both"/>
        <w:rPr>
          <w:rFonts w:ascii="Arial" w:hAnsi="Arial" w:cs="Arial"/>
          <w:sz w:val="16"/>
          <w:szCs w:val="16"/>
        </w:rPr>
      </w:pPr>
    </w:p>
    <w:p w14:paraId="4DC505F2" w14:textId="77777777" w:rsidR="00286653" w:rsidRDefault="00286653" w:rsidP="001446DD">
      <w:pPr>
        <w:jc w:val="both"/>
        <w:rPr>
          <w:rFonts w:ascii="Arial" w:hAnsi="Arial" w:cs="Arial"/>
          <w:sz w:val="16"/>
          <w:szCs w:val="16"/>
        </w:rPr>
      </w:pPr>
    </w:p>
    <w:p w14:paraId="1A81FF64" w14:textId="77777777" w:rsidR="00286653" w:rsidRDefault="00286653" w:rsidP="001446DD">
      <w:pPr>
        <w:jc w:val="both"/>
        <w:rPr>
          <w:rFonts w:ascii="Arial" w:hAnsi="Arial" w:cs="Arial"/>
          <w:sz w:val="16"/>
          <w:szCs w:val="16"/>
        </w:rPr>
      </w:pPr>
    </w:p>
    <w:p w14:paraId="082F5714" w14:textId="77777777" w:rsidR="00286653" w:rsidRDefault="00286653" w:rsidP="001446DD">
      <w:pPr>
        <w:jc w:val="both"/>
        <w:rPr>
          <w:rFonts w:ascii="Arial" w:hAnsi="Arial" w:cs="Arial"/>
          <w:sz w:val="16"/>
          <w:szCs w:val="16"/>
        </w:rPr>
      </w:pPr>
    </w:p>
    <w:p w14:paraId="1B2C5324" w14:textId="77777777" w:rsidR="00286653" w:rsidRDefault="00286653" w:rsidP="001446DD">
      <w:pPr>
        <w:jc w:val="both"/>
        <w:rPr>
          <w:rFonts w:ascii="Arial" w:hAnsi="Arial" w:cs="Arial"/>
          <w:sz w:val="16"/>
          <w:szCs w:val="16"/>
        </w:rPr>
      </w:pPr>
    </w:p>
    <w:p w14:paraId="0E7E3A63" w14:textId="77777777" w:rsidR="00286653" w:rsidRPr="001446DD" w:rsidRDefault="00286653" w:rsidP="001446DD">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66C3CB61" wp14:editId="005E472C">
                <wp:simplePos x="0" y="0"/>
                <wp:positionH relativeFrom="column">
                  <wp:posOffset>-912495</wp:posOffset>
                </wp:positionH>
                <wp:positionV relativeFrom="paragraph">
                  <wp:posOffset>563880</wp:posOffset>
                </wp:positionV>
                <wp:extent cx="5429250" cy="9334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429250" cy="933450"/>
                        </a:xfrm>
                        <a:prstGeom prst="rect">
                          <a:avLst/>
                        </a:prstGeom>
                        <a:solidFill>
                          <a:schemeClr val="lt1"/>
                        </a:solidFill>
                        <a:ln w="6350">
                          <a:noFill/>
                        </a:ln>
                      </wps:spPr>
                      <wps:txbx>
                        <w:txbxContent>
                          <w:p w14:paraId="1BA9EEBC" w14:textId="77777777" w:rsidR="00286653" w:rsidRDefault="00286653" w:rsidP="00286653">
                            <w:pPr>
                              <w:jc w:val="both"/>
                              <w:rPr>
                                <w:rFonts w:ascii="Arial" w:hAnsi="Arial" w:cs="Arial"/>
                                <w:sz w:val="16"/>
                                <w:szCs w:val="16"/>
                              </w:rPr>
                            </w:pPr>
                            <w:r>
                              <w:rPr>
                                <w:rFonts w:ascii="Arial" w:hAnsi="Arial" w:cs="Arial"/>
                                <w:sz w:val="16"/>
                                <w:szCs w:val="16"/>
                              </w:rPr>
                              <w:t xml:space="preserve">1.L’État doit être en mesure de prouver que les fonds publics sont utilisés aux seules fins pour lesquelles ils ont été attribués. La saine gestion concerne autant les collectivités et les organismes visés que les instances gouvernementales qui offrent un soutien financier. Les retombées positives d’une saine gestion se situent tant sur le plan de la qualité des actions à long terme, de la participation citoyenne et de la réponse aux besoins exprimés par les communautés que de l’utilisation efficace des fonds publics. </w:t>
                            </w:r>
                          </w:p>
                          <w:p w14:paraId="61385D0A" w14:textId="77777777" w:rsidR="00286653" w:rsidRDefault="00286653" w:rsidP="00286653">
                            <w:pPr>
                              <w:jc w:val="both"/>
                              <w:rPr>
                                <w:rFonts w:ascii="Arial" w:hAnsi="Arial" w:cs="Arial"/>
                                <w:sz w:val="16"/>
                                <w:szCs w:val="16"/>
                              </w:rPr>
                            </w:pPr>
                            <w:r>
                              <w:rPr>
                                <w:rFonts w:ascii="Arial" w:hAnsi="Arial" w:cs="Arial"/>
                                <w:sz w:val="16"/>
                                <w:szCs w:val="16"/>
                              </w:rPr>
                              <w:t>2. Référer l’organisme à l’aide financière de Population active</w:t>
                            </w:r>
                          </w:p>
                          <w:p w14:paraId="4A56320E" w14:textId="77777777" w:rsidR="00286653" w:rsidRDefault="00286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3CB61" id="_x0000_t202" coordsize="21600,21600" o:spt="202" path="m,l,21600r21600,l21600,xe">
                <v:stroke joinstyle="miter"/>
                <v:path gradientshapeok="t" o:connecttype="rect"/>
              </v:shapetype>
              <v:shape id="Zone de texte 2" o:spid="_x0000_s1026" type="#_x0000_t202" style="position:absolute;left:0;text-align:left;margin-left:-71.85pt;margin-top:44.4pt;width:42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IyKwIAAFQEAAAOAAAAZHJzL2Uyb0RvYy54bWysVEuP2jAQvlfqf7B8L4EA2yUirCgrqkpo&#10;dyW22rNxbBLJ8bi2IaG/vmMnPLrtqerFmfGM5/HNN5k/tLUiR2FdBTqno8GQEqE5FJXe5/T76/rT&#10;PSXOM10wBVrk9CQcfVh8/DBvTCZSKEEVwhIMol3WmJyW3pssSRwvRc3cAIzQaJRga+ZRtfuksKzB&#10;6LVK0uHwLmnAFsYCF87h7WNnpIsYX0rB/bOUTniicoq1+XjaeO7CmSzmLNtbZsqK92Wwf6iiZpXG&#10;pJdQj8wzcrDVH6HqiltwIP2AQ52AlBUXsQfsZjR81822ZEbEXhAcZy4wuf8Xlj8dt+bFEt9+gRYH&#10;GABpjMscXoZ+Wmnr8MVKCdoRwtMFNtF6wvFyOkln6RRNHG2z8XiCMoZJrq+Ndf6rgJoEIacWxxLR&#10;YseN853r2SUkc6CqYl0pFZVABbFSlhwZDlH5WCMG/81LadLk9G6MqcMjDeF5F1lprOXaU5B8u2v7&#10;RndQnLB/Cx01nOHrCovcMOdfmEUuYF/Ib/+Mh1SASaCXKCnB/vzbffDHEaGVkga5lVP348CsoER9&#10;0zi82WgyCWSMymT6OUXF3lp2txZ9qFeAnY9wkwyPYvD36ixKC/UbrsEyZEUT0xxz59SfxZXvGI9r&#10;xMVyGZ2Qfob5jd4aHkIH0MIIXts3Zk0/J48TfoIzC1n2blydbwf38uBBVnGWAeAO1R53pG5kQ79m&#10;YTdu9eh1/RksfgEAAP//AwBQSwMEFAAGAAgAAAAhAC8ZZGfiAAAACwEAAA8AAABkcnMvZG93bnJl&#10;di54bWxMj8tOhEAQRfcm/kOnTNyYmYbBEYI0E2N8JO4cfMRdD10Cka4mdA/g31uudFmpk3vPLXaL&#10;7cWEo+8cKYjXEQik2pmOGgUv1f0qA+GDJqN7R6jgGz3sytOTQufGzfSM0z40gkPI51pBG8KQS+nr&#10;Fq32azcg8e/TjVYHPsdGmlHPHG57uYmiK2l1R9zQ6gFvW6y/9ker4OOieX/yy8PrnGyT4e5xqtI3&#10;Uyl1frbcXIMIuIQ/GH71WR1Kdjq4IxkvegWr+DJJmVWQZbyBiTSOExAHBZtkm4EsC/l/Q/kDAAD/&#10;/wMAUEsBAi0AFAAGAAgAAAAhALaDOJL+AAAA4QEAABMAAAAAAAAAAAAAAAAAAAAAAFtDb250ZW50&#10;X1R5cGVzXS54bWxQSwECLQAUAAYACAAAACEAOP0h/9YAAACUAQAACwAAAAAAAAAAAAAAAAAvAQAA&#10;X3JlbHMvLnJlbHNQSwECLQAUAAYACAAAACEAWtziMisCAABUBAAADgAAAAAAAAAAAAAAAAAuAgAA&#10;ZHJzL2Uyb0RvYy54bWxQSwECLQAUAAYACAAAACEALxlkZ+IAAAALAQAADwAAAAAAAAAAAAAAAACF&#10;BAAAZHJzL2Rvd25yZXYueG1sUEsFBgAAAAAEAAQA8wAAAJQFAAAAAA==&#10;" fillcolor="white [3201]" stroked="f" strokeweight=".5pt">
                <v:textbox>
                  <w:txbxContent>
                    <w:p w14:paraId="1BA9EEBC" w14:textId="77777777" w:rsidR="00286653" w:rsidRDefault="00286653" w:rsidP="00286653">
                      <w:pPr>
                        <w:jc w:val="both"/>
                        <w:rPr>
                          <w:rFonts w:ascii="Arial" w:hAnsi="Arial" w:cs="Arial"/>
                          <w:sz w:val="16"/>
                          <w:szCs w:val="16"/>
                        </w:rPr>
                      </w:pPr>
                      <w:r>
                        <w:rPr>
                          <w:rFonts w:ascii="Arial" w:hAnsi="Arial" w:cs="Arial"/>
                          <w:sz w:val="16"/>
                          <w:szCs w:val="16"/>
                        </w:rPr>
                        <w:t xml:space="preserve">1.L’État doit être en mesure de prouver que les fonds publics sont utilisés aux seules fins pour lesquelles ils ont été attribués. La saine gestion concerne autant les collectivités et les organismes visés que les instances gouvernementales qui offrent un soutien financier. Les retombées positives d’une saine gestion se situent tant sur le plan de la qualité des actions à long terme, de la participation citoyenne et de la réponse aux besoins exprimés par les communautés que de l’utilisation efficace des fonds publics. </w:t>
                      </w:r>
                    </w:p>
                    <w:p w14:paraId="61385D0A" w14:textId="77777777" w:rsidR="00286653" w:rsidRDefault="00286653" w:rsidP="00286653">
                      <w:pPr>
                        <w:jc w:val="both"/>
                        <w:rPr>
                          <w:rFonts w:ascii="Arial" w:hAnsi="Arial" w:cs="Arial"/>
                          <w:sz w:val="16"/>
                          <w:szCs w:val="16"/>
                        </w:rPr>
                      </w:pPr>
                      <w:r>
                        <w:rPr>
                          <w:rFonts w:ascii="Arial" w:hAnsi="Arial" w:cs="Arial"/>
                          <w:sz w:val="16"/>
                          <w:szCs w:val="16"/>
                        </w:rPr>
                        <w:t>2. Référer l’organisme à l’aide financière de Population active</w:t>
                      </w:r>
                    </w:p>
                    <w:p w14:paraId="4A56320E" w14:textId="77777777" w:rsidR="00286653" w:rsidRDefault="00286653"/>
                  </w:txbxContent>
                </v:textbox>
              </v:shape>
            </w:pict>
          </mc:Fallback>
        </mc:AlternateContent>
      </w:r>
    </w:p>
    <w:sectPr w:rsidR="00286653" w:rsidRPr="001446DD" w:rsidSect="0050587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BF59" w14:textId="77777777" w:rsidR="00DF5955" w:rsidRDefault="00DF5955" w:rsidP="00BD2AC7">
      <w:pPr>
        <w:spacing w:after="0" w:line="240" w:lineRule="auto"/>
      </w:pPr>
      <w:r>
        <w:separator/>
      </w:r>
    </w:p>
  </w:endnote>
  <w:endnote w:type="continuationSeparator" w:id="0">
    <w:p w14:paraId="6378B5C4" w14:textId="77777777" w:rsidR="00DF5955" w:rsidRDefault="00DF5955" w:rsidP="00B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DED4" w14:textId="77777777" w:rsidR="00DF5955" w:rsidRDefault="00DF5955" w:rsidP="00BD2AC7">
      <w:pPr>
        <w:spacing w:after="0" w:line="240" w:lineRule="auto"/>
      </w:pPr>
      <w:r>
        <w:separator/>
      </w:r>
    </w:p>
  </w:footnote>
  <w:footnote w:type="continuationSeparator" w:id="0">
    <w:p w14:paraId="493B4AD1" w14:textId="77777777" w:rsidR="00DF5955" w:rsidRDefault="00DF5955" w:rsidP="00BD2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5C"/>
    <w:rsid w:val="00025E70"/>
    <w:rsid w:val="000C1894"/>
    <w:rsid w:val="000F05EF"/>
    <w:rsid w:val="001446DD"/>
    <w:rsid w:val="001E6FAA"/>
    <w:rsid w:val="00286653"/>
    <w:rsid w:val="002B2CCC"/>
    <w:rsid w:val="002B5AA7"/>
    <w:rsid w:val="003E78ED"/>
    <w:rsid w:val="004F40A5"/>
    <w:rsid w:val="00505876"/>
    <w:rsid w:val="00535711"/>
    <w:rsid w:val="0057735D"/>
    <w:rsid w:val="00615D9A"/>
    <w:rsid w:val="00696941"/>
    <w:rsid w:val="007E0710"/>
    <w:rsid w:val="007E415C"/>
    <w:rsid w:val="007F4147"/>
    <w:rsid w:val="008176DD"/>
    <w:rsid w:val="008D331D"/>
    <w:rsid w:val="00902CAF"/>
    <w:rsid w:val="00A30AD6"/>
    <w:rsid w:val="00BD2AC7"/>
    <w:rsid w:val="00C70BA0"/>
    <w:rsid w:val="00DF5955"/>
    <w:rsid w:val="00FC1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1F3C"/>
  <w15:chartTrackingRefBased/>
  <w15:docId w15:val="{6B6E2AA9-BD63-4AB8-A5ED-F1FE8277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5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2AC7"/>
    <w:pPr>
      <w:tabs>
        <w:tab w:val="center" w:pos="4320"/>
        <w:tab w:val="right" w:pos="8640"/>
      </w:tabs>
      <w:spacing w:after="0" w:line="240" w:lineRule="auto"/>
    </w:pPr>
  </w:style>
  <w:style w:type="character" w:customStyle="1" w:styleId="En-tteCar">
    <w:name w:val="En-tête Car"/>
    <w:basedOn w:val="Policepardfaut"/>
    <w:link w:val="En-tte"/>
    <w:uiPriority w:val="99"/>
    <w:rsid w:val="00BD2AC7"/>
  </w:style>
  <w:style w:type="paragraph" w:styleId="Pieddepage">
    <w:name w:val="footer"/>
    <w:basedOn w:val="Normal"/>
    <w:link w:val="PieddepageCar"/>
    <w:uiPriority w:val="99"/>
    <w:unhideWhenUsed/>
    <w:rsid w:val="00BD2A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Murray</dc:creator>
  <cp:keywords/>
  <dc:description/>
  <cp:lastModifiedBy>Karine Labrie</cp:lastModifiedBy>
  <cp:revision>6</cp:revision>
  <cp:lastPrinted>2019-09-27T17:33:00Z</cp:lastPrinted>
  <dcterms:created xsi:type="dcterms:W3CDTF">2019-09-27T17:27:00Z</dcterms:created>
  <dcterms:modified xsi:type="dcterms:W3CDTF">2023-09-11T16:08:00Z</dcterms:modified>
</cp:coreProperties>
</file>